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0E91D26D" w:rsidR="00964E27" w:rsidRDefault="003A5470">
      <w:r>
        <w:t xml:space="preserve">ensuring compliance with third-party payer submission requirements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3.76 Third-Party Payment: Reimbursement Methods Meets “Proficient” criteria and recommended strategies are exceptionally relevant and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1E14C8"/>
    <w:rsid w:val="001F7A75"/>
    <w:rsid w:val="002601F4"/>
    <w:rsid w:val="00284509"/>
    <w:rsid w:val="003A5470"/>
    <w:rsid w:val="0041318C"/>
    <w:rsid w:val="00632FCA"/>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2021-10-28T11:09:00Z</dcterms:created>
  <dcterms:modified xsi:type="dcterms:W3CDTF">2021-10-28T11:09:00Z</dcterms:modified>
</cp:coreProperties>
</file>