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F778" w14:textId="77777777" w:rsidR="0070524B" w:rsidRPr="00A47374" w:rsidRDefault="0070524B" w:rsidP="0070524B">
      <w:pPr>
        <w:rPr>
          <w:color w:val="414141"/>
          <w:spacing w:val="2"/>
          <w:shd w:val="clear" w:color="auto" w:fill="FFFFFF"/>
        </w:rPr>
      </w:pPr>
      <w:r w:rsidRPr="00A47374">
        <w:rPr>
          <w:color w:val="414141"/>
          <w:spacing w:val="2"/>
          <w:shd w:val="clear" w:color="auto" w:fill="FFFFFF"/>
        </w:rPr>
        <w:t>Many have said that Universal Design for Learning (UDL) promotes better teaching practices for all educators. Discuss whether you agree or disagree with that statement and provide specific reasons, facts, and real-world examples to support your ideas. In replies to peers, support or refute the ideas presented using evidence from the topic Resources and your research.</w:t>
      </w: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4B2ACE"/>
    <w:rsid w:val="0070524B"/>
    <w:rsid w:val="00964E27"/>
    <w:rsid w:val="00E8565D"/>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2021-11-09T23:21:00Z</dcterms:created>
  <dcterms:modified xsi:type="dcterms:W3CDTF">2021-11-09T23:21:00Z</dcterms:modified>
</cp:coreProperties>
</file>