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2E48A" w14:textId="77777777" w:rsidR="003B7A89" w:rsidRPr="004B07DB" w:rsidRDefault="003B7A89" w:rsidP="003B7A89">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0 points</w:t>
      </w:r>
    </w:p>
    <w:p w14:paraId="66965EE4" w14:textId="77777777" w:rsidR="003B7A89" w:rsidRPr="004B07DB" w:rsidRDefault="003B7A89" w:rsidP="003B7A89">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Does not analyze how healthcare organizations utilize financial principles for ensuring compliance with government standards</w:t>
      </w:r>
    </w:p>
    <w:p w14:paraId="31C34C16" w14:textId="77777777" w:rsidR="003B7A89" w:rsidRPr="004B07DB" w:rsidRDefault="003B7A89" w:rsidP="003B7A89">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 xml:space="preserve">Score of Federal and State: Compliance </w:t>
      </w:r>
      <w:proofErr w:type="gramStart"/>
      <w:r w:rsidRPr="004B07DB">
        <w:rPr>
          <w:rFonts w:ascii="Lato" w:eastAsia="Times New Roman" w:hAnsi="Lato"/>
          <w:color w:val="494C4E"/>
          <w:spacing w:val="3"/>
          <w:sz w:val="29"/>
          <w:szCs w:val="29"/>
        </w:rPr>
        <w:t>Standards,/</w:t>
      </w:r>
      <w:proofErr w:type="gramEnd"/>
      <w:r w:rsidRPr="004B07DB">
        <w:rPr>
          <w:rFonts w:ascii="Lato" w:eastAsia="Times New Roman" w:hAnsi="Lato"/>
          <w:color w:val="494C4E"/>
          <w:spacing w:val="3"/>
          <w:sz w:val="29"/>
          <w:szCs w:val="29"/>
        </w:rPr>
        <w:t xml:space="preserve"> 3.76</w:t>
      </w:r>
    </w:p>
    <w:p w14:paraId="2C4ABA1D" w14:textId="77777777" w:rsidR="003B7A89" w:rsidRPr="004B07DB" w:rsidRDefault="003B7A89" w:rsidP="003B7A89">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Federal and State: Government Payer Types</w:t>
      </w:r>
    </w:p>
    <w:p w14:paraId="49D2C75F" w14:textId="77777777" w:rsidR="003B7A89" w:rsidRPr="004B07DB" w:rsidRDefault="003B7A89" w:rsidP="003B7A89">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3.76 points</w:t>
      </w:r>
    </w:p>
    <w:p w14:paraId="36376360" w14:textId="77777777" w:rsidR="003B7A89" w:rsidRPr="004B07DB" w:rsidRDefault="003B7A89" w:rsidP="003B7A89">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Meets “Proficient” criteria and recommended strategies are exceptionally relevant and appropriate for the intended purpose</w:t>
      </w:r>
    </w:p>
    <w:p w14:paraId="05EC27E1" w14:textId="77777777" w:rsidR="003B7A89" w:rsidRPr="004B07DB" w:rsidRDefault="003B7A89" w:rsidP="003B7A89">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3.384 points</w:t>
      </w:r>
    </w:p>
    <w:p w14:paraId="4FC29996" w14:textId="77777777" w:rsidR="003B7A89" w:rsidRPr="004B07DB" w:rsidRDefault="003B7A89" w:rsidP="003B7A89">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Recommends appropriate strategies for organizations to receive full reimbursement on claims and improve timeliness of reimbursement from government payers, justifying recommendations</w:t>
      </w:r>
    </w:p>
    <w:p w14:paraId="778AE7D4" w14:textId="77777777" w:rsidR="003B7A89" w:rsidRPr="004B07DB" w:rsidRDefault="003B7A89" w:rsidP="003B7A89">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2.632 points</w:t>
      </w:r>
    </w:p>
    <w:p w14:paraId="26ECB624" w14:textId="77777777" w:rsidR="003B7A89" w:rsidRPr="004B07DB" w:rsidRDefault="003B7A89" w:rsidP="003B7A89">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Recommends strategies, but they are not appropriate for organizations to receive full reimbursement on claims and improve timeliness of reimbursement from government payers or response has gaps in detail or relevant justification</w:t>
      </w:r>
    </w:p>
    <w:p w14:paraId="62143BF2" w14:textId="77777777" w:rsidR="003B7A89" w:rsidRPr="004B07DB" w:rsidRDefault="003B7A89" w:rsidP="003B7A89">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0 points</w:t>
      </w:r>
    </w:p>
    <w:p w14:paraId="3D4CADF2" w14:textId="77777777" w:rsidR="003B7A89" w:rsidRPr="004B07DB" w:rsidRDefault="003B7A89" w:rsidP="003B7A89">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Does not recommend strategies for organizations to receive full reimbursement on claims and improve timeliness of reimbursement from government payers</w:t>
      </w:r>
    </w:p>
    <w:p w14:paraId="5E4E5BCA" w14:textId="3FA6F77A" w:rsidR="00964E27" w:rsidRDefault="00964E27" w:rsidP="00460209"/>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034AE7"/>
    <w:rsid w:val="00056D0A"/>
    <w:rsid w:val="00101F3B"/>
    <w:rsid w:val="00132CFF"/>
    <w:rsid w:val="001528FC"/>
    <w:rsid w:val="00197805"/>
    <w:rsid w:val="001F5A6B"/>
    <w:rsid w:val="00210422"/>
    <w:rsid w:val="00213F2E"/>
    <w:rsid w:val="002B3D0A"/>
    <w:rsid w:val="002F76EE"/>
    <w:rsid w:val="00311690"/>
    <w:rsid w:val="003364C9"/>
    <w:rsid w:val="00351285"/>
    <w:rsid w:val="00385AB2"/>
    <w:rsid w:val="003928F7"/>
    <w:rsid w:val="003B7A89"/>
    <w:rsid w:val="003D6CC1"/>
    <w:rsid w:val="00415B05"/>
    <w:rsid w:val="004323D4"/>
    <w:rsid w:val="00460209"/>
    <w:rsid w:val="004D3EDB"/>
    <w:rsid w:val="004F7BCC"/>
    <w:rsid w:val="0051339D"/>
    <w:rsid w:val="005B0D8B"/>
    <w:rsid w:val="005B1A68"/>
    <w:rsid w:val="006842D1"/>
    <w:rsid w:val="006C0EB6"/>
    <w:rsid w:val="006C37A0"/>
    <w:rsid w:val="006D4E25"/>
    <w:rsid w:val="0072612E"/>
    <w:rsid w:val="00746E28"/>
    <w:rsid w:val="007922E9"/>
    <w:rsid w:val="007947E7"/>
    <w:rsid w:val="0088003B"/>
    <w:rsid w:val="008B179A"/>
    <w:rsid w:val="009154CA"/>
    <w:rsid w:val="00964E27"/>
    <w:rsid w:val="00966193"/>
    <w:rsid w:val="009A5D0C"/>
    <w:rsid w:val="009A76A0"/>
    <w:rsid w:val="00A22F42"/>
    <w:rsid w:val="00A36E40"/>
    <w:rsid w:val="00A86EF7"/>
    <w:rsid w:val="00AC4A34"/>
    <w:rsid w:val="00AF05B9"/>
    <w:rsid w:val="00B66EA1"/>
    <w:rsid w:val="00B8789A"/>
    <w:rsid w:val="00BB37D8"/>
    <w:rsid w:val="00BC0959"/>
    <w:rsid w:val="00C149AE"/>
    <w:rsid w:val="00CD7470"/>
    <w:rsid w:val="00CE7A09"/>
    <w:rsid w:val="00D025CD"/>
    <w:rsid w:val="00D209FC"/>
    <w:rsid w:val="00D803F9"/>
    <w:rsid w:val="00D92DBA"/>
    <w:rsid w:val="00E14676"/>
    <w:rsid w:val="00E94B0D"/>
    <w:rsid w:val="00F03D16"/>
    <w:rsid w:val="00F36E4D"/>
    <w:rsid w:val="00F56CC7"/>
    <w:rsid w:val="00F75AE6"/>
    <w:rsid w:val="00FA6592"/>
    <w:rsid w:val="00FA65FA"/>
    <w:rsid w:val="00FA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2021-11-02T16:09:00Z</dcterms:created>
  <dcterms:modified xsi:type="dcterms:W3CDTF">2021-11-02T16:09:00Z</dcterms:modified>
</cp:coreProperties>
</file>