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A2FF" w14:textId="77777777" w:rsidR="009154CA" w:rsidRDefault="009154CA" w:rsidP="00F36E4D">
      <w:r>
        <w:t xml:space="preserve">Methods Meets “Proficient” criteria and demonstrates advanced knowledge of reimbursement methods </w:t>
      </w:r>
      <w:proofErr w:type="gramStart"/>
      <w:r>
        <w:t>with regard to</w:t>
      </w:r>
      <w:proofErr w:type="gramEnd"/>
      <w:r>
        <w:t xml:space="preserve"> strategic planning Accurately analyzes reimbursement methods, describing the advantages and disadvantages of each method in terms of strategic planning for operational performance</w:t>
      </w:r>
    </w:p>
    <w:p w14:paraId="67429F4E" w14:textId="01E66335" w:rsidR="009154CA" w:rsidRDefault="009154CA" w:rsidP="00F36E4D">
      <w:r>
        <w:t xml:space="preserv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3.76 Financial Principles and Reimbursement: Management Meets “Proficient” criteria and demonstrates exceptional insight into the use of financial management principles for evaluating operational performance Accurately compares and contrasts financial management principles used to evaluate operational performance </w:t>
      </w:r>
    </w:p>
    <w:p w14:paraId="5E4E5BCA" w14:textId="588AFE17" w:rsidR="00964E27" w:rsidRDefault="009154CA" w:rsidP="00F36E4D">
      <w:r>
        <w:t>Compares and contrasts financial management principles used to evaluate operational performance but with gaps in accuracy, relevancy, or detail Does not compare and contrast financial management principles used to evaluate operational performance 3.76 Financial Principles and Reimbursement: Receivable Meets “Proficient” criteria and draws nuanced connections between cash flow, days in accounts receivable, and reimbursement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 3.76 Financial Principles and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D4E25"/>
    <w:rsid w:val="00746E28"/>
    <w:rsid w:val="009154CA"/>
    <w:rsid w:val="00964E27"/>
    <w:rsid w:val="00966193"/>
    <w:rsid w:val="009A5D0C"/>
    <w:rsid w:val="009A76A0"/>
    <w:rsid w:val="00A22F42"/>
    <w:rsid w:val="00A36E40"/>
    <w:rsid w:val="00A86EF7"/>
    <w:rsid w:val="00AC4A34"/>
    <w:rsid w:val="00B66EA1"/>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2021-11-02T15:19:00Z</dcterms:created>
  <dcterms:modified xsi:type="dcterms:W3CDTF">2021-11-02T15:19:00Z</dcterms:modified>
</cp:coreProperties>
</file>