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6EA1"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appropriate reimbursement strategies for low- and high-performing health systems, considering cash flow and days in accounts receivable, supporting conclusion with evidence</w:t>
      </w:r>
    </w:p>
    <w:p w14:paraId="2D59EDB5"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2.632 points</w:t>
      </w:r>
    </w:p>
    <w:p w14:paraId="6E00FCB6"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Recommends strategies for low- and high-performing health systems, but recommendations are not appropriate for the intended purpose or do not consider cash flow and days in accounts receivable, or response has gaps in detail or relevant support</w:t>
      </w:r>
    </w:p>
    <w:p w14:paraId="36EBC8A8"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0 points</w:t>
      </w:r>
    </w:p>
    <w:p w14:paraId="0E7D964C"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Does not recommend reimbursement strategies for low- and high-performing health systems</w:t>
      </w:r>
    </w:p>
    <w:p w14:paraId="02FB9D1B"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Score of Planning: Financial and Reimbursement </w:t>
      </w:r>
      <w:proofErr w:type="gramStart"/>
      <w:r w:rsidRPr="004B07DB">
        <w:rPr>
          <w:rFonts w:ascii="Lato" w:eastAsia="Times New Roman" w:hAnsi="Lato"/>
          <w:color w:val="494C4E"/>
          <w:spacing w:val="3"/>
          <w:sz w:val="29"/>
          <w:szCs w:val="29"/>
        </w:rPr>
        <w:t>Strategies,/</w:t>
      </w:r>
      <w:proofErr w:type="gramEnd"/>
      <w:r w:rsidRPr="004B07DB">
        <w:rPr>
          <w:rFonts w:ascii="Lato" w:eastAsia="Times New Roman" w:hAnsi="Lato"/>
          <w:color w:val="494C4E"/>
          <w:spacing w:val="3"/>
          <w:sz w:val="29"/>
          <w:szCs w:val="29"/>
        </w:rPr>
        <w:t xml:space="preserve"> 3.76</w:t>
      </w:r>
    </w:p>
    <w:p w14:paraId="09C6D0D4"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Articulation of Response</w:t>
      </w:r>
    </w:p>
    <w:p w14:paraId="2B461B74"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3 points</w:t>
      </w:r>
    </w:p>
    <w:p w14:paraId="3B97F1B8"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 xml:space="preserve">Submission is free of errors related to citations, grammar, spelling, syntax, and organization and </w:t>
      </w:r>
      <w:proofErr w:type="gramStart"/>
      <w:r w:rsidRPr="004B07DB">
        <w:rPr>
          <w:rFonts w:ascii="Lato" w:eastAsia="Times New Roman" w:hAnsi="Lato"/>
          <w:color w:val="494C4E"/>
          <w:spacing w:val="3"/>
          <w:sz w:val="29"/>
          <w:szCs w:val="29"/>
        </w:rPr>
        <w:t>is presented</w:t>
      </w:r>
      <w:proofErr w:type="gramEnd"/>
      <w:r w:rsidRPr="004B07DB">
        <w:rPr>
          <w:rFonts w:ascii="Lato" w:eastAsia="Times New Roman" w:hAnsi="Lato"/>
          <w:color w:val="494C4E"/>
          <w:spacing w:val="3"/>
          <w:sz w:val="29"/>
          <w:szCs w:val="29"/>
        </w:rPr>
        <w:t xml:space="preserve"> in a professional and easy-to-read format</w:t>
      </w:r>
    </w:p>
    <w:p w14:paraId="4F210077"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2.7 points</w:t>
      </w:r>
    </w:p>
    <w:p w14:paraId="401BA481"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Submission has no major errors related to citations, grammar, spelling, syntax, or organization</w:t>
      </w:r>
    </w:p>
    <w:p w14:paraId="7F82C971"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2.1 points</w:t>
      </w:r>
    </w:p>
    <w:p w14:paraId="5776F96C" w14:textId="77777777" w:rsidR="009A3CF1" w:rsidRPr="004B07DB" w:rsidRDefault="009A3CF1" w:rsidP="009A3CF1">
      <w:pPr>
        <w:spacing w:after="0" w:line="240" w:lineRule="auto"/>
        <w:rPr>
          <w:rFonts w:ascii="Lato" w:eastAsia="Times New Roman" w:hAnsi="Lato"/>
          <w:color w:val="494C4E"/>
          <w:spacing w:val="3"/>
          <w:sz w:val="29"/>
          <w:szCs w:val="29"/>
        </w:rPr>
      </w:pPr>
      <w:r w:rsidRPr="004B07DB">
        <w:rPr>
          <w:rFonts w:ascii="Lato" w:eastAsia="Times New Roman" w:hAnsi="Lato"/>
          <w:color w:val="494C4E"/>
          <w:spacing w:val="3"/>
          <w:sz w:val="29"/>
          <w:szCs w:val="29"/>
        </w:rPr>
        <w:t>Submission has major errors related to citations, grammar, spelling, syntax, or organization that negatively impact readability and articulation of main ideas</w:t>
      </w:r>
    </w:p>
    <w:p w14:paraId="5E4E5BCA" w14:textId="3FA6F77A" w:rsidR="00964E27" w:rsidRDefault="00964E27" w:rsidP="00460209"/>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2NjI1tDA0MzWysDRU0lEKTi0uzszPAykwrAUAEDbWpCwAAAA="/>
  </w:docVars>
  <w:rsids>
    <w:rsidRoot w:val="00FA65FA"/>
    <w:rsid w:val="00034AE7"/>
    <w:rsid w:val="00056D0A"/>
    <w:rsid w:val="000D0F0A"/>
    <w:rsid w:val="00101F3B"/>
    <w:rsid w:val="00132CFF"/>
    <w:rsid w:val="001528FC"/>
    <w:rsid w:val="00197805"/>
    <w:rsid w:val="001F5A6B"/>
    <w:rsid w:val="00210422"/>
    <w:rsid w:val="00213F2E"/>
    <w:rsid w:val="0028387E"/>
    <w:rsid w:val="002B3D0A"/>
    <w:rsid w:val="002F76EE"/>
    <w:rsid w:val="00311690"/>
    <w:rsid w:val="003364C9"/>
    <w:rsid w:val="00351285"/>
    <w:rsid w:val="00385AB2"/>
    <w:rsid w:val="003928F7"/>
    <w:rsid w:val="003B7A89"/>
    <w:rsid w:val="003D6CC1"/>
    <w:rsid w:val="00415B05"/>
    <w:rsid w:val="004323D4"/>
    <w:rsid w:val="00460209"/>
    <w:rsid w:val="004D3EDB"/>
    <w:rsid w:val="004F7BCC"/>
    <w:rsid w:val="0051339D"/>
    <w:rsid w:val="005B0D8B"/>
    <w:rsid w:val="005B1A68"/>
    <w:rsid w:val="005B3A93"/>
    <w:rsid w:val="006842D1"/>
    <w:rsid w:val="006C0EB6"/>
    <w:rsid w:val="006C37A0"/>
    <w:rsid w:val="006D4E25"/>
    <w:rsid w:val="0072612E"/>
    <w:rsid w:val="00746E28"/>
    <w:rsid w:val="007922E9"/>
    <w:rsid w:val="007947E7"/>
    <w:rsid w:val="0088003B"/>
    <w:rsid w:val="008B179A"/>
    <w:rsid w:val="009154CA"/>
    <w:rsid w:val="00964E27"/>
    <w:rsid w:val="00966193"/>
    <w:rsid w:val="009A3CF1"/>
    <w:rsid w:val="009A5D0C"/>
    <w:rsid w:val="009A76A0"/>
    <w:rsid w:val="00A163CE"/>
    <w:rsid w:val="00A22F42"/>
    <w:rsid w:val="00A36E40"/>
    <w:rsid w:val="00A86EF7"/>
    <w:rsid w:val="00AC4A34"/>
    <w:rsid w:val="00AF05B9"/>
    <w:rsid w:val="00B66EA1"/>
    <w:rsid w:val="00B8789A"/>
    <w:rsid w:val="00BB37D8"/>
    <w:rsid w:val="00BC0959"/>
    <w:rsid w:val="00C149AE"/>
    <w:rsid w:val="00CD7470"/>
    <w:rsid w:val="00CE7A09"/>
    <w:rsid w:val="00D025CD"/>
    <w:rsid w:val="00D209FC"/>
    <w:rsid w:val="00D803F9"/>
    <w:rsid w:val="00D92DBA"/>
    <w:rsid w:val="00E14676"/>
    <w:rsid w:val="00E94B0D"/>
    <w:rsid w:val="00EE6ACA"/>
    <w:rsid w:val="00F03D16"/>
    <w:rsid w:val="00F36E4D"/>
    <w:rsid w:val="00F56CC7"/>
    <w:rsid w:val="00F75AE6"/>
    <w:rsid w:val="00FA6592"/>
    <w:rsid w:val="00FA65FA"/>
    <w:rsid w:val="00FA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D2406"/>
  <w15:chartTrackingRefBased/>
  <w15:docId w15:val="{E78E189D-5C7C-4FFB-8181-339FEE920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2021-11-02T16:24:00Z</dcterms:created>
  <dcterms:modified xsi:type="dcterms:W3CDTF">2021-11-02T16:24:00Z</dcterms:modified>
</cp:coreProperties>
</file>