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B16DF" w14:textId="77777777" w:rsidR="003276F6" w:rsidRPr="006D6247" w:rsidRDefault="003276F6" w:rsidP="003276F6">
      <w:pPr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6D6247">
        <w:rPr>
          <w:rFonts w:eastAsia="Times New Roman"/>
          <w:color w:val="414141"/>
          <w:spacing w:val="2"/>
        </w:rPr>
        <w:t xml:space="preserve">Create a simple visual that summarizes the 12 key components of IDEA. This visual could be a </w:t>
      </w:r>
      <w:proofErr w:type="gramStart"/>
      <w:r w:rsidRPr="006D6247">
        <w:rPr>
          <w:rFonts w:eastAsia="Times New Roman"/>
          <w:color w:val="414141"/>
          <w:spacing w:val="2"/>
        </w:rPr>
        <w:t>1-2 page</w:t>
      </w:r>
      <w:proofErr w:type="gramEnd"/>
      <w:r w:rsidRPr="006D6247">
        <w:rPr>
          <w:rFonts w:eastAsia="Times New Roman"/>
          <w:color w:val="414141"/>
          <w:spacing w:val="2"/>
        </w:rPr>
        <w:t xml:space="preserve"> handout, chart, brochure, etc. and should provide the reader with a clear understanding of key terms and processes associated with IEPs. Include IDEA citations relevant to each component.</w:t>
      </w:r>
    </w:p>
    <w:p w14:paraId="37595150" w14:textId="77777777" w:rsidR="003276F6" w:rsidRPr="006D6247" w:rsidRDefault="003276F6" w:rsidP="003276F6">
      <w:pPr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6D6247">
        <w:rPr>
          <w:rFonts w:eastAsia="Times New Roman"/>
          <w:color w:val="414141"/>
          <w:spacing w:val="2"/>
        </w:rPr>
        <w:t xml:space="preserve">The visual should address the </w:t>
      </w:r>
      <w:proofErr w:type="gramStart"/>
      <w:r w:rsidRPr="006D6247">
        <w:rPr>
          <w:rFonts w:eastAsia="Times New Roman"/>
          <w:color w:val="414141"/>
          <w:spacing w:val="2"/>
        </w:rPr>
        <w:t>following .</w:t>
      </w:r>
      <w:proofErr w:type="gramEnd"/>
    </w:p>
    <w:p w14:paraId="78913DE7" w14:textId="77777777" w:rsidR="003276F6" w:rsidRPr="006D6247" w:rsidRDefault="003276F6" w:rsidP="003276F6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6D6247">
        <w:rPr>
          <w:rFonts w:eastAsia="Times New Roman"/>
          <w:color w:val="212121"/>
          <w:spacing w:val="2"/>
        </w:rPr>
        <w:t>Free Appropriate Public Education (FAPE)</w:t>
      </w:r>
    </w:p>
    <w:p w14:paraId="7700D0EF" w14:textId="77777777" w:rsidR="003276F6" w:rsidRPr="006D6247" w:rsidRDefault="003276F6" w:rsidP="003276F6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6D6247">
        <w:rPr>
          <w:rFonts w:eastAsia="Times New Roman"/>
          <w:color w:val="212121"/>
          <w:spacing w:val="2"/>
        </w:rPr>
        <w:t>Least Restrictive Environment (LRE)</w:t>
      </w:r>
    </w:p>
    <w:p w14:paraId="755C5124" w14:textId="77777777" w:rsidR="003276F6" w:rsidRPr="006D6247" w:rsidRDefault="003276F6" w:rsidP="003276F6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6D6247">
        <w:rPr>
          <w:rFonts w:eastAsia="Times New Roman"/>
          <w:color w:val="212121"/>
          <w:spacing w:val="2"/>
        </w:rPr>
        <w:t>Referral Process</w:t>
      </w:r>
    </w:p>
    <w:p w14:paraId="71A1B6B4" w14:textId="77777777" w:rsidR="003276F6" w:rsidRPr="006D6247" w:rsidRDefault="003276F6" w:rsidP="003276F6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6D6247">
        <w:rPr>
          <w:rFonts w:eastAsia="Times New Roman"/>
          <w:color w:val="212121"/>
          <w:spacing w:val="2"/>
        </w:rPr>
        <w:t>Evaluation Process</w:t>
      </w:r>
    </w:p>
    <w:p w14:paraId="63EB157E" w14:textId="77777777" w:rsidR="003276F6" w:rsidRPr="006D6247" w:rsidRDefault="003276F6" w:rsidP="003276F6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6D6247">
        <w:rPr>
          <w:rFonts w:eastAsia="Times New Roman"/>
          <w:color w:val="212121"/>
          <w:spacing w:val="2"/>
        </w:rPr>
        <w:t>Eligibility Determination</w:t>
      </w:r>
    </w:p>
    <w:p w14:paraId="4CA47796" w14:textId="77777777" w:rsidR="003276F6" w:rsidRPr="006D6247" w:rsidRDefault="003276F6" w:rsidP="003276F6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6D6247">
        <w:rPr>
          <w:rFonts w:eastAsia="Times New Roman"/>
          <w:color w:val="212121"/>
          <w:spacing w:val="2"/>
        </w:rPr>
        <w:t>IEP Components</w:t>
      </w:r>
    </w:p>
    <w:p w14:paraId="5C8C9626" w14:textId="77777777" w:rsidR="003276F6" w:rsidRPr="006D6247" w:rsidRDefault="003276F6" w:rsidP="003276F6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6D6247">
        <w:rPr>
          <w:rFonts w:eastAsia="Times New Roman"/>
          <w:color w:val="212121"/>
          <w:spacing w:val="2"/>
        </w:rPr>
        <w:t>Parent and Student Involvement</w:t>
      </w:r>
    </w:p>
    <w:p w14:paraId="186915C9" w14:textId="77777777" w:rsidR="003276F6" w:rsidRPr="006D6247" w:rsidRDefault="003276F6" w:rsidP="003276F6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6D6247">
        <w:rPr>
          <w:rFonts w:eastAsia="Times New Roman"/>
          <w:color w:val="212121"/>
          <w:spacing w:val="2"/>
        </w:rPr>
        <w:t>Quarterly Progress Monitoring</w:t>
      </w:r>
    </w:p>
    <w:p w14:paraId="12757BAA" w14:textId="77777777" w:rsidR="003276F6" w:rsidRPr="006D6247" w:rsidRDefault="003276F6" w:rsidP="003276F6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6D6247">
        <w:rPr>
          <w:rFonts w:eastAsia="Times New Roman"/>
          <w:color w:val="212121"/>
          <w:spacing w:val="2"/>
        </w:rPr>
        <w:t>Annual Review Process</w:t>
      </w:r>
    </w:p>
    <w:p w14:paraId="4015F2B6" w14:textId="77777777" w:rsidR="003276F6" w:rsidRPr="006D6247" w:rsidRDefault="003276F6" w:rsidP="003276F6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6D6247">
        <w:rPr>
          <w:rFonts w:eastAsia="Times New Roman"/>
          <w:color w:val="212121"/>
          <w:spacing w:val="2"/>
        </w:rPr>
        <w:t>Procedural Safeguards</w:t>
      </w:r>
    </w:p>
    <w:p w14:paraId="250D14AC" w14:textId="77777777" w:rsidR="003276F6" w:rsidRPr="006D6247" w:rsidRDefault="003276F6" w:rsidP="003276F6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6D6247">
        <w:rPr>
          <w:rFonts w:eastAsia="Times New Roman"/>
          <w:color w:val="212121"/>
          <w:spacing w:val="2"/>
        </w:rPr>
        <w:t>Prior Written Notice</w:t>
      </w:r>
    </w:p>
    <w:p w14:paraId="01DEDB30" w14:textId="77777777" w:rsidR="003276F6" w:rsidRPr="006D6247" w:rsidRDefault="003276F6" w:rsidP="003276F6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6D6247">
        <w:rPr>
          <w:rFonts w:eastAsia="Times New Roman"/>
          <w:color w:val="212121"/>
          <w:spacing w:val="2"/>
        </w:rPr>
        <w:t>Related Services</w:t>
      </w:r>
    </w:p>
    <w:p w14:paraId="567311B9" w14:textId="77777777" w:rsidR="00A631FF" w:rsidRPr="00A47374" w:rsidRDefault="00A631FF" w:rsidP="00A631FF"/>
    <w:p w14:paraId="19593D4A" w14:textId="30B82EB0" w:rsidR="000462D3" w:rsidRPr="006D6247" w:rsidRDefault="000462D3" w:rsidP="000462D3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6D6247">
        <w:rPr>
          <w:rFonts w:eastAsia="Times New Roman"/>
          <w:color w:val="414141"/>
          <w:spacing w:val="2"/>
        </w:rPr>
        <w:t>. </w:t>
      </w:r>
    </w:p>
    <w:p w14:paraId="325D97B3" w14:textId="7231A3AD" w:rsidR="00E8366A" w:rsidRPr="006D6247" w:rsidRDefault="00E8366A" w:rsidP="00E8366A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</w:p>
    <w:p w14:paraId="7D622093" w14:textId="77777777" w:rsidR="00964E27" w:rsidRDefault="00964E27"/>
    <w:sectPr w:rsidR="0096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21AC"/>
    <w:multiLevelType w:val="multilevel"/>
    <w:tmpl w:val="D3723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EA4C66"/>
    <w:multiLevelType w:val="multilevel"/>
    <w:tmpl w:val="47C25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9E0668"/>
    <w:multiLevelType w:val="multilevel"/>
    <w:tmpl w:val="F5F09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6E8233C"/>
    <w:multiLevelType w:val="multilevel"/>
    <w:tmpl w:val="B6567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A0NzYxNjQ1sDC3MDNW0lEKTi0uzszPAykwrAUAbOa4UywAAAA="/>
  </w:docVars>
  <w:rsids>
    <w:rsidRoot w:val="00E8565D"/>
    <w:rsid w:val="000462D3"/>
    <w:rsid w:val="003276F6"/>
    <w:rsid w:val="003F62CC"/>
    <w:rsid w:val="004B2ACE"/>
    <w:rsid w:val="00614A80"/>
    <w:rsid w:val="0070524B"/>
    <w:rsid w:val="00964E27"/>
    <w:rsid w:val="009A396A"/>
    <w:rsid w:val="00A631FF"/>
    <w:rsid w:val="00B94BAB"/>
    <w:rsid w:val="00E8366A"/>
    <w:rsid w:val="00E8565D"/>
    <w:rsid w:val="00F9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DA80E"/>
  <w15:chartTrackingRefBased/>
  <w15:docId w15:val="{2C33C324-0518-4534-ABCD-63C3139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2021-11-09T23:32:00Z</dcterms:created>
  <dcterms:modified xsi:type="dcterms:W3CDTF">2021-11-09T23:32:00Z</dcterms:modified>
</cp:coreProperties>
</file>