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5194A6C8" w:rsidR="00964E27" w:rsidRDefault="00F56CC7" w:rsidP="00F36E4D">
      <w:r>
        <w:t xml:space="preserve">“Proficient” criteria and demonstrates keen insight into the use of financial principles for ensuring compliance with third-party payer submission requirements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A5D0C"/>
    <w:rsid w:val="009A76A0"/>
    <w:rsid w:val="00A22F42"/>
    <w:rsid w:val="00A36E40"/>
    <w:rsid w:val="00A86EF7"/>
    <w:rsid w:val="00AC4A34"/>
    <w:rsid w:val="00B66EA1"/>
    <w:rsid w:val="00CD7470"/>
    <w:rsid w:val="00CE7A09"/>
    <w:rsid w:val="00D803F9"/>
    <w:rsid w:val="00E14676"/>
    <w:rsid w:val="00F03D16"/>
    <w:rsid w:val="00F36E4D"/>
    <w:rsid w:val="00F56CC7"/>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2021-11-02T14:26:00Z</dcterms:created>
  <dcterms:modified xsi:type="dcterms:W3CDTF">2021-11-02T14:26:00Z</dcterms:modified>
</cp:coreProperties>
</file>