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0B777F23" w:rsidR="00964E27" w:rsidRDefault="00794C00">
      <w:r>
        <w:t>Include at least two references. Critical Elements Proficient (100%) Needs Improvement (70%) Not Evident (0%) Value Financial Principles and Reimbursement: Strategies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pay-for-performance incentives, supporting response, but with gaps in logic, detail, or relevant support Does not assess the impact of case rates and management utilization data on pay-</w:t>
      </w:r>
      <w:proofErr w:type="spellStart"/>
      <w:r>
        <w:t>forperformance</w:t>
      </w:r>
      <w:proofErr w:type="spellEnd"/>
      <w:r>
        <w:t xml:space="preserve"> incentives 25 Financial Principles and Reimbursement: Methods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10 Financial Principles and Reimbursement: Management Accurately compares and contrasts financial management principles used to evaluate operational</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4F5A2A"/>
    <w:rsid w:val="00704A50"/>
    <w:rsid w:val="00794C00"/>
    <w:rsid w:val="007C04A4"/>
    <w:rsid w:val="00964E27"/>
    <w:rsid w:val="00A7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2021-11-19T04:35:00Z</dcterms:created>
  <dcterms:modified xsi:type="dcterms:W3CDTF">2021-11-19T04:35:00Z</dcterms:modified>
</cp:coreProperties>
</file>