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C73" w14:textId="48109CC1" w:rsidR="00964E27" w:rsidRDefault="00E712B4" w:rsidP="002537FC">
      <w:r>
        <w:t>including how a cluster is determined as a strength, and supports responses with evidence Discusses areas of strength within the business domain, but does not sufficiently discuss how a cluster is determined as a strength, or does not support responses with evidence Does not discuss areas of strength within the business domain 30 Weaknesses Discusses areas of weakness within the business domain, including how a cluster is determined as a weakness, and supports responses with evidence Discusses areas of weakness within the business domain, but does not sufficiently discuss how a cluster is determined as a weakness, or does not support responses with evidence Does not discuss areas of weakness within the business domain 30 Strategies Discusses strategies for the development of behavioral competencies within the business domain and supports responses with evidence Discusses strategies for the development of behavioral competencies within the business domain, but discussion is cursory or lacking in detail, or responses are not supported with evidence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2537FC"/>
    <w:rsid w:val="002D676D"/>
    <w:rsid w:val="0062565E"/>
    <w:rsid w:val="007D3FD2"/>
    <w:rsid w:val="008D23FB"/>
    <w:rsid w:val="00927A03"/>
    <w:rsid w:val="00941666"/>
    <w:rsid w:val="00964E27"/>
    <w:rsid w:val="00A64949"/>
    <w:rsid w:val="00E712B4"/>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2021-11-15T20:45:00Z</dcterms:created>
  <dcterms:modified xsi:type="dcterms:W3CDTF">2021-11-15T20:45:00Z</dcterms:modified>
</cp:coreProperties>
</file>