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EE8C" w14:textId="77777777" w:rsidR="00025035" w:rsidRDefault="00025035" w:rsidP="00025035">
      <w:r>
        <w:t>: Maximizing Logically assesses the extent to which healthcare organizations utilize case rates and management utilization data to maximize reimbursement from both government and third-party payer payment systems, supporting response Assesses the extent to which healthcare organizations utilize case rates and management utilization data to maximize reimbursement from both government and third-party payer payment systems, supporting response, but with gaps in logic, detail, or relevant support Does not assess the extent to which healthcare organizations utilize case rates and management utilization data to maximize reimbursement from both government and third-party payer payment systems 25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 10 Tot.</w:t>
      </w:r>
    </w:p>
    <w:p w14:paraId="2A2262C1" w14:textId="77777777" w:rsidR="00025035" w:rsidRDefault="00025035" w:rsidP="00025035">
      <w:r>
        <w:br w:type="page"/>
      </w:r>
    </w:p>
    <w:p w14:paraId="41C21F69" w14:textId="49A5C3A2"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4F5A2A"/>
    <w:rsid w:val="00704A50"/>
    <w:rsid w:val="00794C00"/>
    <w:rsid w:val="007C04A4"/>
    <w:rsid w:val="00964E27"/>
    <w:rsid w:val="00A7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2021-11-19T04:52:00Z</dcterms:created>
  <dcterms:modified xsi:type="dcterms:W3CDTF">2021-11-19T04:52:00Z</dcterms:modified>
</cp:coreProperties>
</file>