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3D14" w14:textId="77777777" w:rsidR="00303E13" w:rsidRPr="003F65A5" w:rsidRDefault="00303E13" w:rsidP="00303E13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3F65A5">
        <w:rPr>
          <w:rFonts w:ascii="Roboto" w:eastAsia="Times New Roman" w:hAnsi="Roboto"/>
          <w:color w:val="626262"/>
          <w:sz w:val="21"/>
          <w:szCs w:val="21"/>
        </w:rPr>
        <w:t>. Saudi Organization of Certified Public Accountants (SOCPA) (</w:t>
      </w:r>
      <w:hyperlink r:id="rId4" w:tgtFrame="_blank" w:tooltip="Open link in a new tab" w:history="1">
        <w:r w:rsidRPr="003F65A5">
          <w:rPr>
            <w:rFonts w:ascii="Roboto" w:eastAsia="Times New Roman" w:hAnsi="Roboto"/>
            <w:color w:val="0288D1"/>
            <w:sz w:val="21"/>
            <w:szCs w:val="21"/>
            <w:u w:val="single"/>
          </w:rPr>
          <w:t>www.socpa.org.sa</w:t>
        </w:r>
      </w:hyperlink>
      <w:r w:rsidRPr="003F65A5">
        <w:rPr>
          <w:rFonts w:ascii="Roboto" w:eastAsia="Times New Roman" w:hAnsi="Roboto"/>
          <w:color w:val="626262"/>
          <w:sz w:val="21"/>
          <w:szCs w:val="21"/>
        </w:rPr>
        <w:t>). 4. U.S. Securities and Exchange Commission (SEC) (</w:t>
      </w:r>
      <w:hyperlink r:id="rId5" w:tgtFrame="_blank" w:tooltip="Open link in a new tab" w:history="1">
        <w:r w:rsidRPr="003F65A5">
          <w:rPr>
            <w:rFonts w:ascii="Roboto" w:eastAsia="Times New Roman" w:hAnsi="Roboto"/>
            <w:color w:val="0288D1"/>
            <w:sz w:val="21"/>
            <w:szCs w:val="21"/>
            <w:u w:val="single"/>
          </w:rPr>
          <w:t>www.sec.gov</w:t>
        </w:r>
      </w:hyperlink>
      <w:r w:rsidRPr="003F65A5">
        <w:rPr>
          <w:rFonts w:ascii="Roboto" w:eastAsia="Times New Roman" w:hAnsi="Roboto"/>
          <w:color w:val="626262"/>
          <w:sz w:val="21"/>
          <w:szCs w:val="21"/>
        </w:rPr>
        <w:t>). 5. Saudi Stock Exchange (</w:t>
      </w:r>
      <w:hyperlink r:id="rId6" w:tgtFrame="_blank" w:tooltip="Open link in a new tab" w:history="1">
        <w:r w:rsidRPr="003F65A5">
          <w:rPr>
            <w:rFonts w:ascii="Roboto" w:eastAsia="Times New Roman" w:hAnsi="Roboto"/>
            <w:color w:val="0288D1"/>
            <w:sz w:val="21"/>
            <w:szCs w:val="21"/>
            <w:u w:val="single"/>
          </w:rPr>
          <w:t>www.tadawul.com.sa</w:t>
        </w:r>
      </w:hyperlink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). 6. </w:t>
      </w:r>
      <w:hyperlink r:id="rId7" w:tgtFrame="_blank" w:tooltip="Open link in a new tab" w:history="1">
        <w:r w:rsidRPr="003F65A5">
          <w:rPr>
            <w:rFonts w:ascii="Roboto" w:eastAsia="Times New Roman" w:hAnsi="Roboto"/>
            <w:color w:val="0288D1"/>
            <w:sz w:val="21"/>
            <w:szCs w:val="21"/>
            <w:u w:val="single"/>
          </w:rPr>
          <w:t>https://www.sipchem.com/en</w:t>
        </w:r>
      </w:hyperlink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the analysis should be for 2021, 2020 and 2019 if you want to add 18 it will be better </w:t>
      </w:r>
      <w:proofErr w:type="spellStart"/>
      <w:r w:rsidRPr="003F65A5">
        <w:rPr>
          <w:rFonts w:ascii="Roboto" w:eastAsia="Times New Roman" w:hAnsi="Roboto"/>
          <w:color w:val="626262"/>
          <w:sz w:val="21"/>
          <w:szCs w:val="21"/>
        </w:rPr>
        <w:t>fo</w:t>
      </w:r>
      <w:proofErr w:type="spellEnd"/>
    </w:p>
    <w:p w14:paraId="4EB4D094" w14:textId="77777777" w:rsidR="00303E13" w:rsidRPr="003F65A5" w:rsidRDefault="00303E13" w:rsidP="00303E13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3F65A5">
        <w:rPr>
          <w:rFonts w:ascii="Roboto" w:eastAsia="Times New Roman" w:hAnsi="Roboto"/>
          <w:color w:val="212529"/>
        </w:rPr>
        <w:t>Writing instructions</w:t>
      </w:r>
    </w:p>
    <w:p w14:paraId="09B28CF8" w14:textId="77777777" w:rsidR="00303E13" w:rsidRPr="003F65A5" w:rsidRDefault="00303E13" w:rsidP="00303E13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3F65A5">
        <w:rPr>
          <w:rFonts w:ascii="Roboto" w:eastAsia="Times New Roman" w:hAnsi="Roboto"/>
          <w:color w:val="626262"/>
          <w:sz w:val="21"/>
          <w:szCs w:val="21"/>
        </w:rPr>
        <w:t>This paper is for my managerial economics course. I need to provide as many of the relevant topics as I can correctly since it will determine my grade. I need to write this essay as in if I am "responding the email" back to them. My topic is under "Memo 1" and I need to provide the regression analysis (under "</w:t>
      </w:r>
      <w:proofErr w:type="spellStart"/>
      <w:r w:rsidRPr="003F65A5">
        <w:rPr>
          <w:rFonts w:ascii="Roboto" w:eastAsia="Times New Roman" w:hAnsi="Roboto"/>
          <w:color w:val="626262"/>
          <w:sz w:val="21"/>
          <w:szCs w:val="21"/>
        </w:rPr>
        <w:t>Epix</w:t>
      </w:r>
      <w:proofErr w:type="spell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") for that topic. The more detailed instructions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are labeled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under as "Case Study Instructions."</w:t>
      </w:r>
    </w:p>
    <w:p w14:paraId="56EE40C9" w14:textId="69C01F14" w:rsidR="00295C26" w:rsidRDefault="00295C26" w:rsidP="000F2E9F"/>
    <w:sectPr w:rsidR="0029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zUxszQ2NjYwMbBQ0lEKTi0uzszPAykwrAUAT5Xs7iwAAAA="/>
  </w:docVars>
  <w:rsids>
    <w:rsidRoot w:val="00487772"/>
    <w:rsid w:val="000F2E9F"/>
    <w:rsid w:val="00295C26"/>
    <w:rsid w:val="00303E13"/>
    <w:rsid w:val="00487772"/>
    <w:rsid w:val="00561940"/>
    <w:rsid w:val="00763F84"/>
    <w:rsid w:val="00964E27"/>
    <w:rsid w:val="00A21E77"/>
    <w:rsid w:val="00A64506"/>
    <w:rsid w:val="00B9456C"/>
    <w:rsid w:val="00BA259C"/>
    <w:rsid w:val="00C9086C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74DA"/>
  <w15:chartTrackingRefBased/>
  <w15:docId w15:val="{5A856403-7CF6-4289-A173-F9020469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pchem.com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dawul.com.sa/" TargetMode="External"/><Relationship Id="rId5" Type="http://schemas.openxmlformats.org/officeDocument/2006/relationships/hyperlink" Target="http://www.sec.gov/" TargetMode="External"/><Relationship Id="rId4" Type="http://schemas.openxmlformats.org/officeDocument/2006/relationships/hyperlink" Target="http://www.socpa.org.s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2021-12-10T02:19:00Z</dcterms:created>
  <dcterms:modified xsi:type="dcterms:W3CDTF">2021-12-10T02:19:00Z</dcterms:modified>
</cp:coreProperties>
</file>